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C0" w:rsidRDefault="00BD15C0" w:rsidP="00BD15C0">
      <w:pPr>
        <w:spacing w:after="0" w:line="240" w:lineRule="auto"/>
        <w:rPr>
          <w:color w:val="95B3D7" w:themeColor="accent1" w:themeTint="99"/>
          <w:sz w:val="12"/>
          <w:szCs w:val="12"/>
        </w:rPr>
      </w:pPr>
      <w:r>
        <w:rPr>
          <w:color w:val="95B3D7" w:themeColor="accent1" w:themeTint="99"/>
          <w:sz w:val="12"/>
          <w:szCs w:val="12"/>
        </w:rPr>
        <w:t xml:space="preserve">                      </w:t>
      </w:r>
    </w:p>
    <w:p w:rsidR="00BD15C0" w:rsidRPr="00310B8F" w:rsidRDefault="00BD15C0" w:rsidP="00BD15C0">
      <w:pPr>
        <w:spacing w:after="0" w:line="240" w:lineRule="auto"/>
        <w:rPr>
          <w:color w:val="95B3D7" w:themeColor="accent1" w:themeTint="99"/>
          <w:sz w:val="12"/>
          <w:szCs w:val="12"/>
        </w:rPr>
      </w:pPr>
      <w:r>
        <w:rPr>
          <w:color w:val="95B3D7" w:themeColor="accent1" w:themeTint="99"/>
          <w:sz w:val="12"/>
          <w:szCs w:val="12"/>
        </w:rPr>
        <w:t xml:space="preserve">                       </w:t>
      </w:r>
      <w:r w:rsidRPr="00310B8F">
        <w:rPr>
          <w:color w:val="95B3D7" w:themeColor="accent1" w:themeTint="99"/>
          <w:sz w:val="12"/>
          <w:szCs w:val="12"/>
        </w:rPr>
        <w:t xml:space="preserve">CB-UV   </w:t>
      </w:r>
    </w:p>
    <w:p w:rsidR="00BD15C0" w:rsidRPr="00310B8F" w:rsidRDefault="00BD15C0" w:rsidP="00BD15C0">
      <w:pPr>
        <w:spacing w:after="0" w:line="240" w:lineRule="auto"/>
        <w:rPr>
          <w:color w:val="95B3D7" w:themeColor="accent1" w:themeTint="99"/>
          <w:sz w:val="12"/>
          <w:szCs w:val="12"/>
        </w:rPr>
      </w:pPr>
      <w:r w:rsidRPr="00310B8F">
        <w:rPr>
          <w:color w:val="95B3D7" w:themeColor="accent1" w:themeTint="99"/>
          <w:sz w:val="12"/>
          <w:szCs w:val="12"/>
        </w:rPr>
        <w:t>Comité Institucional de Bioseguridad</w:t>
      </w:r>
    </w:p>
    <w:p w:rsidR="00BD15C0" w:rsidRPr="00310B8F" w:rsidRDefault="00BD15C0" w:rsidP="00BD15C0">
      <w:pPr>
        <w:spacing w:after="0" w:line="240" w:lineRule="auto"/>
        <w:rPr>
          <w:color w:val="95B3D7" w:themeColor="accent1" w:themeTint="99"/>
          <w:sz w:val="12"/>
          <w:szCs w:val="12"/>
        </w:rPr>
      </w:pPr>
      <w:r w:rsidRPr="00310B8F">
        <w:rPr>
          <w:color w:val="95B3D7" w:themeColor="accent1" w:themeTint="99"/>
          <w:sz w:val="12"/>
          <w:szCs w:val="12"/>
        </w:rPr>
        <w:t>Vicerrectoría de Investigación e Investigación</w:t>
      </w:r>
    </w:p>
    <w:p w:rsidR="007E6AF4" w:rsidRDefault="007E6AF4" w:rsidP="00BD15C0">
      <w:pPr>
        <w:spacing w:after="0" w:line="240" w:lineRule="auto"/>
        <w:rPr>
          <w:b/>
          <w:sz w:val="28"/>
          <w:szCs w:val="28"/>
        </w:rPr>
      </w:pPr>
    </w:p>
    <w:p w:rsidR="00DB159C" w:rsidRDefault="00B46634" w:rsidP="00BD15C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IX. </w:t>
      </w:r>
      <w:r w:rsidR="009777B0">
        <w:rPr>
          <w:b/>
          <w:sz w:val="28"/>
          <w:szCs w:val="28"/>
        </w:rPr>
        <w:t xml:space="preserve">FORMULARIO DE BIOSEGURIDAD PARA EL MANEJO DE PLANTAS DE </w:t>
      </w:r>
      <w:r w:rsidR="00BD15C0">
        <w:rPr>
          <w:b/>
          <w:sz w:val="28"/>
          <w:szCs w:val="28"/>
        </w:rPr>
        <w:t xml:space="preserve">         </w:t>
      </w:r>
      <w:r w:rsidR="009777B0">
        <w:rPr>
          <w:b/>
          <w:sz w:val="28"/>
          <w:szCs w:val="28"/>
        </w:rPr>
        <w:t>EXPERIMENTACIÓN</w:t>
      </w:r>
    </w:p>
    <w:p w:rsidR="0082257F" w:rsidRDefault="0082257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6"/>
        <w:gridCol w:w="6205"/>
      </w:tblGrid>
      <w:tr w:rsidR="007E6AF4" w:rsidTr="00E64967">
        <w:tc>
          <w:tcPr>
            <w:tcW w:w="3826" w:type="dxa"/>
            <w:shd w:val="clear" w:color="auto" w:fill="C6D9F1"/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 DEL PROYECTO</w:t>
            </w:r>
          </w:p>
        </w:tc>
        <w:tc>
          <w:tcPr>
            <w:tcW w:w="6205" w:type="dxa"/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  <w:p w:rsidR="007E6AF4" w:rsidRDefault="007E6AF4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</w:t>
            </w:r>
          </w:p>
        </w:tc>
      </w:tr>
      <w:tr w:rsidR="007E6AF4" w:rsidTr="00E64967">
        <w:tc>
          <w:tcPr>
            <w:tcW w:w="3826" w:type="dxa"/>
            <w:shd w:val="clear" w:color="auto" w:fill="C6D9F1"/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FONDO </w:t>
            </w:r>
          </w:p>
        </w:tc>
        <w:tc>
          <w:tcPr>
            <w:tcW w:w="6205" w:type="dxa"/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</w:t>
            </w:r>
          </w:p>
        </w:tc>
      </w:tr>
      <w:tr w:rsidR="007E6AF4" w:rsidTr="00E64967">
        <w:trPr>
          <w:trHeight w:val="760"/>
        </w:trPr>
        <w:tc>
          <w:tcPr>
            <w:tcW w:w="3826" w:type="dxa"/>
            <w:shd w:val="clear" w:color="auto" w:fill="C6D9F1"/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INVESTIGADOR RESPONSABLE</w:t>
            </w:r>
          </w:p>
          <w:p w:rsidR="007E6AF4" w:rsidRDefault="007E6AF4" w:rsidP="00E6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  <w:tr w:rsidR="007E6AF4" w:rsidTr="00E64967">
        <w:tc>
          <w:tcPr>
            <w:tcW w:w="3826" w:type="dxa"/>
            <w:shd w:val="clear" w:color="auto" w:fill="C6D9F1"/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INVESTIGADOR ALTERNO</w:t>
            </w:r>
          </w:p>
          <w:p w:rsidR="007E6AF4" w:rsidRDefault="007E6AF4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  <w:tr w:rsidR="007E6AF4" w:rsidTr="00E6496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COINVESTIGADORES</w:t>
            </w:r>
          </w:p>
          <w:p w:rsidR="007E6AF4" w:rsidRDefault="007E6AF4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  <w:tr w:rsidR="007E6AF4" w:rsidTr="00E6496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DEPENDENCIA (S) DE LA UNIVERSIDAD DE VALPARAÍSO DONDE DESARROLLARÁ LA INVESTIGACIÓN</w:t>
            </w:r>
          </w:p>
          <w:p w:rsidR="007E6AF4" w:rsidRDefault="007E6AF4" w:rsidP="00E64967">
            <w:r>
              <w:rPr>
                <w:sz w:val="20"/>
                <w:szCs w:val="20"/>
              </w:rPr>
              <w:t>(Señale nombre del laboratorio, anexo y unidad académica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F4" w:rsidRDefault="007E6AF4" w:rsidP="00E64967">
            <w:pPr>
              <w:pStyle w:val="Ttulo5"/>
              <w:ind w:firstLine="0"/>
              <w:outlineLvl w:val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</w:t>
            </w:r>
          </w:p>
        </w:tc>
      </w:tr>
    </w:tbl>
    <w:p w:rsidR="00DB159C" w:rsidRPr="00C875C6" w:rsidRDefault="00DB159C" w:rsidP="00B46634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val="es-ES"/>
        </w:rPr>
      </w:pPr>
    </w:p>
    <w:p w:rsidR="00DB159C" w:rsidRPr="00C875C6" w:rsidRDefault="00B46634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b/>
        </w:rPr>
      </w:pPr>
      <w:r w:rsidRPr="00C875C6">
        <w:rPr>
          <w:rFonts w:asciiTheme="majorHAnsi" w:hAnsiTheme="majorHAnsi" w:cstheme="majorHAnsi"/>
          <w:b/>
          <w:color w:val="000000"/>
        </w:rPr>
        <w:t>RIE</w:t>
      </w:r>
      <w:r w:rsidRPr="00C875C6">
        <w:rPr>
          <w:b/>
          <w:color w:val="000000"/>
        </w:rPr>
        <w:t>SGOS ASOCIADOS A LA MANIPULACIÓN DE PLANTAS</w:t>
      </w:r>
    </w:p>
    <w:p w:rsidR="00C875C6" w:rsidRDefault="009777B0">
      <w:pPr>
        <w:spacing w:after="0" w:line="240" w:lineRule="auto"/>
        <w:ind w:left="-450" w:hanging="720"/>
        <w:jc w:val="both"/>
        <w:rPr>
          <w:color w:val="000000"/>
        </w:rPr>
      </w:pPr>
      <w:r>
        <w:rPr>
          <w:color w:val="000000"/>
        </w:rPr>
        <w:t xml:space="preserve">               </w:t>
      </w:r>
    </w:p>
    <w:p w:rsidR="00DB159C" w:rsidRDefault="009777B0" w:rsidP="00C875C6">
      <w:p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 w:rsidR="007E6AF4">
        <w:rPr>
          <w:color w:val="000000"/>
        </w:rPr>
        <w:t xml:space="preserve">      </w:t>
      </w:r>
      <w:r>
        <w:rPr>
          <w:color w:val="000000"/>
        </w:rPr>
        <w:t xml:space="preserve">Enumere especies a utilizar en la investigación, cantidad y procedencia. </w:t>
      </w:r>
      <w:r w:rsidR="00B46634">
        <w:rPr>
          <w:color w:val="000000"/>
        </w:rPr>
        <w:t xml:space="preserve">Incluya nivel de seguridad </w:t>
      </w:r>
      <w:r>
        <w:rPr>
          <w:color w:val="000000"/>
        </w:rPr>
        <w:t xml:space="preserve">biológica (NSB). </w:t>
      </w:r>
    </w:p>
    <w:p w:rsidR="00DB159C" w:rsidRDefault="009777B0" w:rsidP="007E6AF4">
      <w:pPr>
        <w:spacing w:line="240" w:lineRule="auto"/>
        <w:ind w:left="-142" w:hanging="862"/>
        <w:jc w:val="both"/>
        <w:rPr>
          <w:color w:val="000000"/>
        </w:rPr>
      </w:pPr>
      <w:r>
        <w:rPr>
          <w:b/>
          <w:color w:val="000000"/>
        </w:rPr>
        <w:t xml:space="preserve">              </w:t>
      </w:r>
      <w:r w:rsidR="007E6AF4">
        <w:rPr>
          <w:b/>
          <w:color w:val="000000"/>
        </w:rPr>
        <w:t xml:space="preserve">   </w:t>
      </w:r>
      <w:r>
        <w:rPr>
          <w:b/>
          <w:color w:val="000000"/>
        </w:rPr>
        <w:t>Importante:</w:t>
      </w:r>
      <w:r>
        <w:rPr>
          <w:color w:val="000000"/>
        </w:rPr>
        <w:t xml:space="preserve"> En el trabajo de experimentación con plantas, se pueden adoptar los criterios generales aplicables a los laboratorios y centros de trabajo donde se manipulan agentes biológicos, teniendo en cuenta el nivel de riesgo, presencia de microorganismo que p</w:t>
      </w:r>
      <w:r w:rsidR="00CF7013">
        <w:rPr>
          <w:color w:val="000000"/>
        </w:rPr>
        <w:t>odria</w:t>
      </w:r>
      <w:r>
        <w:rPr>
          <w:color w:val="000000"/>
        </w:rPr>
        <w:t xml:space="preserve"> portar la planta y, en consecuencia, aplicando el nivel de seguridad biológica correspondiente</w:t>
      </w:r>
      <w:r w:rsidR="00CF7013">
        <w:rPr>
          <w:color w:val="000000"/>
        </w:rPr>
        <w:t>.</w:t>
      </w:r>
    </w:p>
    <w:tbl>
      <w:tblPr>
        <w:tblStyle w:val="a"/>
        <w:tblW w:w="100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97"/>
        <w:gridCol w:w="4956"/>
      </w:tblGrid>
      <w:tr w:rsidR="00DB159C" w:rsidTr="00CF7013">
        <w:tc>
          <w:tcPr>
            <w:tcW w:w="5097" w:type="dxa"/>
            <w:shd w:val="clear" w:color="auto" w:fill="BFBFBF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ITEM</w:t>
            </w:r>
          </w:p>
        </w:tc>
        <w:tc>
          <w:tcPr>
            <w:tcW w:w="4956" w:type="dxa"/>
            <w:shd w:val="clear" w:color="auto" w:fill="BFBFBF"/>
          </w:tcPr>
          <w:p w:rsidR="00DB159C" w:rsidRDefault="009777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INDICAR</w:t>
            </w: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Nombre Científico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Nombre vernacular ( común)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Cantidad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Procedencia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Nivel de Bioseguridad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Endémica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Nativa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Introducida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Peligro de extinción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Protegida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  <w:tr w:rsidR="00DB159C" w:rsidTr="00CF7013">
        <w:tc>
          <w:tcPr>
            <w:tcW w:w="5097" w:type="dxa"/>
          </w:tcPr>
          <w:p w:rsidR="00DB159C" w:rsidRDefault="00977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Controlada</w:t>
            </w:r>
          </w:p>
        </w:tc>
        <w:tc>
          <w:tcPr>
            <w:tcW w:w="4956" w:type="dxa"/>
          </w:tcPr>
          <w:p w:rsidR="00DB159C" w:rsidRDefault="00DB159C">
            <w:pPr>
              <w:jc w:val="both"/>
              <w:rPr>
                <w:color w:val="000000"/>
              </w:rPr>
            </w:pPr>
          </w:p>
        </w:tc>
      </w:tr>
    </w:tbl>
    <w:p w:rsidR="00B46634" w:rsidRDefault="00B46634" w:rsidP="00B46634">
      <w:pPr>
        <w:spacing w:line="240" w:lineRule="auto"/>
        <w:jc w:val="both"/>
        <w:rPr>
          <w:color w:val="000000"/>
        </w:rPr>
      </w:pPr>
    </w:p>
    <w:p w:rsidR="007E6AF4" w:rsidRDefault="007E6AF4" w:rsidP="00B46634">
      <w:pPr>
        <w:spacing w:line="240" w:lineRule="auto"/>
        <w:jc w:val="both"/>
        <w:rPr>
          <w:color w:val="000000"/>
        </w:rPr>
      </w:pPr>
    </w:p>
    <w:p w:rsidR="007E6AF4" w:rsidRDefault="007E6AF4" w:rsidP="00B46634">
      <w:pPr>
        <w:spacing w:line="240" w:lineRule="auto"/>
        <w:jc w:val="both"/>
        <w:rPr>
          <w:color w:val="000000"/>
        </w:rPr>
      </w:pPr>
    </w:p>
    <w:p w:rsidR="007E6AF4" w:rsidRDefault="007E6AF4" w:rsidP="00B46634">
      <w:pPr>
        <w:spacing w:line="240" w:lineRule="auto"/>
        <w:jc w:val="both"/>
        <w:rPr>
          <w:color w:val="000000"/>
        </w:rPr>
      </w:pPr>
    </w:p>
    <w:p w:rsidR="00DB159C" w:rsidRPr="00C875C6" w:rsidRDefault="009777B0" w:rsidP="00B46634">
      <w:pPr>
        <w:spacing w:line="240" w:lineRule="auto"/>
        <w:jc w:val="both"/>
        <w:rPr>
          <w:b/>
          <w:color w:val="000000"/>
        </w:rPr>
      </w:pPr>
      <w:r w:rsidRPr="00C875C6">
        <w:rPr>
          <w:b/>
          <w:color w:val="000000"/>
        </w:rPr>
        <w:t xml:space="preserve">  2. </w:t>
      </w:r>
      <w:r w:rsidR="00B46634" w:rsidRPr="00C875C6">
        <w:rPr>
          <w:b/>
          <w:color w:val="000000"/>
        </w:rPr>
        <w:t xml:space="preserve">INDIQUE </w:t>
      </w:r>
      <w:r w:rsidR="005A2AFB" w:rsidRPr="00C875C6">
        <w:rPr>
          <w:b/>
          <w:color w:val="000000"/>
        </w:rPr>
        <w:t xml:space="preserve">A </w:t>
      </w:r>
      <w:r w:rsidR="00B46634" w:rsidRPr="00C875C6">
        <w:rPr>
          <w:b/>
          <w:color w:val="000000"/>
        </w:rPr>
        <w:t>QUÉ</w:t>
      </w:r>
      <w:r w:rsidR="005A2AFB" w:rsidRPr="00C875C6">
        <w:rPr>
          <w:b/>
          <w:color w:val="000000"/>
        </w:rPr>
        <w:t xml:space="preserve"> </w:t>
      </w:r>
      <w:r w:rsidR="00127C50" w:rsidRPr="00C875C6">
        <w:rPr>
          <w:b/>
          <w:color w:val="000000"/>
        </w:rPr>
        <w:t>AGENTE</w:t>
      </w:r>
      <w:r w:rsidR="005A2AFB" w:rsidRPr="00C875C6">
        <w:rPr>
          <w:b/>
          <w:color w:val="000000"/>
        </w:rPr>
        <w:t xml:space="preserve"> ESTARÁ EXPUESTA </w:t>
      </w:r>
      <w:r w:rsidR="00B46634" w:rsidRPr="00C875C6">
        <w:rPr>
          <w:b/>
          <w:color w:val="000000"/>
        </w:rPr>
        <w:t>LA PLANTA</w:t>
      </w:r>
    </w:p>
    <w:tbl>
      <w:tblPr>
        <w:tblStyle w:val="a0"/>
        <w:tblW w:w="9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72"/>
        <w:gridCol w:w="425"/>
        <w:gridCol w:w="567"/>
      </w:tblGrid>
      <w:tr w:rsidR="00CF7013" w:rsidTr="00CF7013">
        <w:tc>
          <w:tcPr>
            <w:tcW w:w="8472" w:type="dxa"/>
            <w:shd w:val="clear" w:color="auto" w:fill="B8CCE4" w:themeFill="accent1" w:themeFillTint="66"/>
          </w:tcPr>
          <w:p w:rsidR="00CF7013" w:rsidRDefault="00CF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ITEM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CF7013" w:rsidRDefault="00CF701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CF7013" w:rsidRDefault="00CF701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CF7013" w:rsidTr="00CF7013">
        <w:trPr>
          <w:trHeight w:val="220"/>
        </w:trPr>
        <w:tc>
          <w:tcPr>
            <w:tcW w:w="8472" w:type="dxa"/>
          </w:tcPr>
          <w:p w:rsidR="00CF7013" w:rsidRDefault="00CF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Agentes químicos (1)</w:t>
            </w:r>
          </w:p>
        </w:tc>
        <w:tc>
          <w:tcPr>
            <w:tcW w:w="425" w:type="dxa"/>
          </w:tcPr>
          <w:p w:rsidR="00CF7013" w:rsidRDefault="00CF701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F7013" w:rsidRDefault="00CF7013">
            <w:pPr>
              <w:jc w:val="both"/>
              <w:rPr>
                <w:b/>
                <w:color w:val="000000"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Agentes físicos (2)</w:t>
            </w:r>
          </w:p>
        </w:tc>
        <w:tc>
          <w:tcPr>
            <w:tcW w:w="425" w:type="dxa"/>
          </w:tcPr>
          <w:p w:rsidR="00CF7013" w:rsidRDefault="00CF701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F7013" w:rsidRDefault="00CF7013">
            <w:pPr>
              <w:jc w:val="both"/>
              <w:rPr>
                <w:b/>
                <w:color w:val="000000"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Agentes patógenos (3)</w:t>
            </w:r>
          </w:p>
        </w:tc>
        <w:tc>
          <w:tcPr>
            <w:tcW w:w="425" w:type="dxa"/>
          </w:tcPr>
          <w:p w:rsidR="00CF7013" w:rsidRDefault="00CF701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F7013" w:rsidRDefault="00CF7013">
            <w:pPr>
              <w:jc w:val="both"/>
              <w:rPr>
                <w:b/>
                <w:color w:val="000000"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Otros</w:t>
            </w:r>
          </w:p>
        </w:tc>
        <w:tc>
          <w:tcPr>
            <w:tcW w:w="425" w:type="dxa"/>
          </w:tcPr>
          <w:p w:rsidR="00CF7013" w:rsidRDefault="00CF701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CF7013" w:rsidRDefault="00CF7013">
            <w:pPr>
              <w:jc w:val="both"/>
              <w:rPr>
                <w:b/>
                <w:color w:val="000000"/>
              </w:rPr>
            </w:pPr>
          </w:p>
        </w:tc>
      </w:tr>
    </w:tbl>
    <w:p w:rsidR="00DB159C" w:rsidRDefault="009777B0" w:rsidP="00CF7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6"/>
        <w:jc w:val="both"/>
        <w:rPr>
          <w:color w:val="000000"/>
        </w:rPr>
      </w:pPr>
      <w:r>
        <w:rPr>
          <w:color w:val="000000"/>
        </w:rPr>
        <w:t>Adicionalmente llenar formulario bioseguridad de sustancias químicas peligrosas</w:t>
      </w:r>
    </w:p>
    <w:p w:rsidR="00DB159C" w:rsidRDefault="009777B0" w:rsidP="007E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6"/>
        <w:jc w:val="both"/>
        <w:rPr>
          <w:color w:val="000000"/>
        </w:rPr>
      </w:pPr>
      <w:r>
        <w:rPr>
          <w:color w:val="000000"/>
        </w:rPr>
        <w:t>Adicionalmente llenar formulario bioseguridad de equipos de laboratorio</w:t>
      </w:r>
    </w:p>
    <w:p w:rsidR="00DB159C" w:rsidRDefault="009777B0" w:rsidP="007E6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6"/>
        <w:jc w:val="both"/>
        <w:rPr>
          <w:color w:val="000000"/>
        </w:rPr>
      </w:pPr>
      <w:r>
        <w:rPr>
          <w:color w:val="000000"/>
        </w:rPr>
        <w:t>Adicionalmente llenar formulario bi</w:t>
      </w:r>
      <w:r w:rsidR="005A2AFB">
        <w:rPr>
          <w:color w:val="000000"/>
        </w:rPr>
        <w:t>oseguridad de microorganismos patógenos</w:t>
      </w:r>
    </w:p>
    <w:p w:rsidR="007E6AF4" w:rsidRPr="007E6AF4" w:rsidRDefault="007E6AF4" w:rsidP="007E6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DB159C" w:rsidRDefault="009777B0">
      <w:pPr>
        <w:spacing w:line="240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127C50">
        <w:rPr>
          <w:b/>
          <w:color w:val="000000"/>
        </w:rPr>
        <w:t>INFORMACIÓN DE RIESGOS EN LABORATORIO</w:t>
      </w:r>
    </w:p>
    <w:tbl>
      <w:tblPr>
        <w:tblStyle w:val="a1"/>
        <w:tblW w:w="9416" w:type="dxa"/>
        <w:tblInd w:w="0" w:type="dxa"/>
        <w:tblLayout w:type="fixed"/>
        <w:tblLook w:val="0400"/>
      </w:tblPr>
      <w:tblGrid>
        <w:gridCol w:w="8561"/>
        <w:gridCol w:w="375"/>
        <w:gridCol w:w="480"/>
      </w:tblGrid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color w:val="000000"/>
              </w:rPr>
            </w:pPr>
            <w:r>
              <w:t>Cuenta con autorización del SAG/ ISP/SERNAPESCA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La Monografía de la planta se encuentra accesible, en carpeta u on-line.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Los estantes de almacenamiento de sustancias utilizadas en las plantas  se encuentran rotulados apropiadamente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Dispone de condiciones apropiadas para contener y almacenar las plantas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El laboratorio cuenta con señalética de seguridad apropiada, visible y en buen estado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013" w:rsidRDefault="00CF7013">
      <w:pPr>
        <w:spacing w:after="0"/>
      </w:pPr>
    </w:p>
    <w:p w:rsidR="00DB159C" w:rsidRDefault="00127C50" w:rsidP="00CF701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07"/>
      </w:pPr>
      <w:r w:rsidRPr="00127C50">
        <w:rPr>
          <w:b/>
          <w:color w:val="000000"/>
        </w:rPr>
        <w:t>INFRAESTRUCTURA Y ELEMENTOS DE SEGURIDAD EN EL  LABORATORIO</w:t>
      </w:r>
    </w:p>
    <w:p w:rsidR="00DB159C" w:rsidRDefault="00DB159C">
      <w:pPr>
        <w:spacing w:after="0"/>
      </w:pPr>
    </w:p>
    <w:tbl>
      <w:tblPr>
        <w:tblStyle w:val="a2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72"/>
        <w:gridCol w:w="456"/>
        <w:gridCol w:w="536"/>
      </w:tblGrid>
      <w:tr w:rsidR="00CF7013" w:rsidTr="00CF7013">
        <w:tc>
          <w:tcPr>
            <w:tcW w:w="8472" w:type="dxa"/>
            <w:shd w:val="clear" w:color="auto" w:fill="C6D9F1"/>
          </w:tcPr>
          <w:p w:rsidR="00CF7013" w:rsidRDefault="00CF7013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6" w:type="dxa"/>
            <w:shd w:val="clear" w:color="auto" w:fill="C6D9F1"/>
          </w:tcPr>
          <w:p w:rsidR="00CF7013" w:rsidRDefault="00CF7013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36" w:type="dxa"/>
            <w:shd w:val="clear" w:color="auto" w:fill="C6D9F1"/>
          </w:tcPr>
          <w:p w:rsidR="00CF7013" w:rsidRDefault="00CF701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jc w:val="both"/>
            </w:pPr>
            <w:r>
              <w:t>El personal que usará las instalaciones se encuentra capacitado para que tome las medidas adecuadas para prevenir la diseminación al medio ambiente.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jc w:val="both"/>
            </w:pPr>
            <w:r>
              <w:t>El recinto de preparación de plantas posee barreras apropiadas para evitar la fuga de material vegetal.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jc w:val="both"/>
            </w:pPr>
            <w:r>
              <w:t>Se utiliza una estructura permanente (Ej. cámara de crecimiento dentro de un edificio, o invernadero).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jc w:val="both"/>
            </w:pPr>
            <w:bookmarkStart w:id="0" w:name="_gjdgxs" w:colFirst="0" w:colLast="0"/>
            <w:bookmarkEnd w:id="0"/>
            <w:r>
              <w:t>Se utiliza una estructura temporal bien mantenida (Ej. túneles invernaderos).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Las puertas están bien selladas, y se mantienen cerradas con llave en ausencia de personal autorizado.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Se utilizan repisas con superficies resistentes a cloro u otros agentes desinfectantes.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El pavimento del recinto es impermeable y de fácil lavado.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Las ventanas del recinto poseen mallas protectoras u otras medidas apropiadas para evitar el ingreso de vectores animales.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Se esterilizan todos los desechos antes de eliminarlos. Esto incluye maceteros, medios de crecimiento además de las plantas.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Los elementos de protección personal usados en la investigación que salen del recinto son descontaminados.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>El traslado de plantas de un recinto a otro (ej. al laboratorio) se realiza mediante el uso de recipientes apropiados (ej. cajas o bolsas) para evitar la diseminación de material vegetal (polen, semillas, etc.).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  <w:tr w:rsidR="00CF7013" w:rsidTr="00CF7013">
        <w:tc>
          <w:tcPr>
            <w:tcW w:w="8472" w:type="dxa"/>
          </w:tcPr>
          <w:p w:rsidR="00CF7013" w:rsidRDefault="00CF70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lastRenderedPageBreak/>
              <w:t>Se utilizan alfombras pegajosas en la entrada del recinto para evitar la diseminación del material.</w:t>
            </w:r>
          </w:p>
          <w:p w:rsidR="00CF7013" w:rsidRDefault="00CF70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 xml:space="preserve"> </w:t>
            </w:r>
          </w:p>
        </w:tc>
        <w:tc>
          <w:tcPr>
            <w:tcW w:w="45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CF7013" w:rsidRDefault="00CF7013">
            <w:pPr>
              <w:jc w:val="center"/>
              <w:rPr>
                <w:b/>
              </w:rPr>
            </w:pPr>
          </w:p>
        </w:tc>
      </w:tr>
    </w:tbl>
    <w:p w:rsidR="00DB159C" w:rsidRDefault="00DB15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59C" w:rsidRDefault="004070AB" w:rsidP="00127C5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</w:rPr>
        <w:t>MANEJO DE RESIDUOS DE PLANTAS DE EXPERIMENTACIÓN</w:t>
      </w:r>
    </w:p>
    <w:tbl>
      <w:tblPr>
        <w:tblStyle w:val="a4"/>
        <w:tblW w:w="9416" w:type="dxa"/>
        <w:tblInd w:w="0" w:type="dxa"/>
        <w:tblLayout w:type="fixed"/>
        <w:tblLook w:val="0400"/>
      </w:tblPr>
      <w:tblGrid>
        <w:gridCol w:w="8561"/>
        <w:gridCol w:w="375"/>
        <w:gridCol w:w="480"/>
      </w:tblGrid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40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Existen contenedores apropiados para residuos y se encuentran rotulados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El lugar de almacenamiento transitorio de los residuos cuenta con acceso restringido y espacio suficiente para un almacenamiento seguro y se encuentra señalizado apropiadamente.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En la espera del retiro, se guardan en un frigorífico señalizado apropiadamente dentro de un embalaje estanco, debidamente rotulado.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4070AB">
            <w:pPr>
              <w:spacing w:after="0" w:line="240" w:lineRule="auto"/>
              <w:rPr>
                <w:color w:val="000000"/>
              </w:rPr>
            </w:pPr>
            <w:bookmarkStart w:id="1" w:name="_30j0zll" w:colFirst="0" w:colLast="0"/>
            <w:bookmarkEnd w:id="1"/>
            <w:r>
              <w:rPr>
                <w:color w:val="000000"/>
              </w:rPr>
              <w:t>Los residuos de plantas contaminadas son retirados por empresa certificada por la Autoridad Sanitaria.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159C" w:rsidRDefault="00DB1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013" w:rsidRDefault="004070AB" w:rsidP="00CF70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contextualSpacing/>
      </w:pPr>
      <w:r>
        <w:rPr>
          <w:b/>
          <w:color w:val="000000"/>
        </w:rPr>
        <w:t>T</w:t>
      </w:r>
      <w:r w:rsidR="00AA7FD7">
        <w:rPr>
          <w:b/>
          <w:color w:val="000000"/>
        </w:rPr>
        <w:t>RASLADO DE</w:t>
      </w:r>
      <w:r>
        <w:rPr>
          <w:b/>
          <w:color w:val="000000"/>
        </w:rPr>
        <w:t xml:space="preserve"> PLANTAS</w:t>
      </w:r>
      <w:r w:rsidR="00CF7013">
        <w:rPr>
          <w:b/>
          <w:color w:val="000000"/>
        </w:rPr>
        <w:t xml:space="preserve"> </w:t>
      </w:r>
    </w:p>
    <w:p w:rsidR="00DB159C" w:rsidRDefault="00CF7013" w:rsidP="00CF70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</w:rPr>
      </w:pPr>
      <w:r w:rsidRPr="00CF7013">
        <w:rPr>
          <w:color w:val="000000"/>
        </w:rPr>
        <w:t>(fuera de los recintos donde se está reaizando la investigación)</w:t>
      </w:r>
    </w:p>
    <w:p w:rsidR="00CF7013" w:rsidRPr="00CF7013" w:rsidRDefault="00CF7013" w:rsidP="00CF70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</w:pPr>
    </w:p>
    <w:tbl>
      <w:tblPr>
        <w:tblStyle w:val="a5"/>
        <w:tblW w:w="9416" w:type="dxa"/>
        <w:tblInd w:w="0" w:type="dxa"/>
        <w:tblLayout w:type="fixed"/>
        <w:tblLook w:val="0400"/>
      </w:tblPr>
      <w:tblGrid>
        <w:gridCol w:w="8561"/>
        <w:gridCol w:w="375"/>
        <w:gridCol w:w="480"/>
      </w:tblGrid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AA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El traslado de los plantas se efectúa de acuerdo a los protocolos del SAG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Los contenedores para el traslado de plantas son apropiados en cuanto al tamaño, ventilación, sin piezas movibles  o superficies, y se encuentran rotulados.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159C" w:rsidRDefault="00DB159C">
      <w:pPr>
        <w:spacing w:line="240" w:lineRule="auto"/>
      </w:pPr>
    </w:p>
    <w:p w:rsidR="00127C50" w:rsidRDefault="004070AB" w:rsidP="00127C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ELEMENTOS DE PROTECCIÓN PERSONAL EN EL LABORATORIO Y EN LA MANIPULACIÓN DE PLANTAS</w:t>
      </w:r>
    </w:p>
    <w:p w:rsidR="00127C50" w:rsidRDefault="00127C50" w:rsidP="00127C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hanging="720"/>
        <w:rPr>
          <w:b/>
          <w:color w:val="000000"/>
        </w:rPr>
      </w:pPr>
    </w:p>
    <w:tbl>
      <w:tblPr>
        <w:tblStyle w:val="a3"/>
        <w:tblW w:w="4205" w:type="dxa"/>
        <w:tblInd w:w="0" w:type="dxa"/>
        <w:tblLayout w:type="fixed"/>
        <w:tblLook w:val="0400"/>
      </w:tblPr>
      <w:tblGrid>
        <w:gridCol w:w="3350"/>
        <w:gridCol w:w="375"/>
        <w:gridCol w:w="480"/>
      </w:tblGrid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Sí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No</w:t>
            </w: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NSB 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Bata cerrada por la espalda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Guantes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Gafas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Calzado cerrado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NSB 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Overol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Mascarilla quirúrgica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Guantes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Gafas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Calzado cerrado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NSB 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Compartimento cerrado con ducha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Overol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Mascarilla quirúrgica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Guantes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Gafas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013" w:rsidTr="00CF7013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Calzado cerrado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13" w:rsidRDefault="00CF7013" w:rsidP="0027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C50" w:rsidRDefault="00127C50">
      <w:pPr>
        <w:spacing w:line="240" w:lineRule="auto"/>
      </w:pPr>
      <w:bookmarkStart w:id="2" w:name="_GoBack"/>
      <w:bookmarkEnd w:id="2"/>
    </w:p>
    <w:sectPr w:rsidR="00127C50" w:rsidSect="00D036B3">
      <w:headerReference w:type="default" r:id="rId7"/>
      <w:footerReference w:type="default" r:id="rId8"/>
      <w:pgSz w:w="11906" w:h="16838"/>
      <w:pgMar w:top="1134" w:right="851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EC" w:rsidRDefault="00BF38EC">
      <w:pPr>
        <w:spacing w:after="0" w:line="240" w:lineRule="auto"/>
      </w:pPr>
      <w:r>
        <w:separator/>
      </w:r>
    </w:p>
  </w:endnote>
  <w:endnote w:type="continuationSeparator" w:id="0">
    <w:p w:rsidR="00BF38EC" w:rsidRDefault="00BF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2040602050305020304"/>
    <w:charset w:val="4D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59C" w:rsidRDefault="009777B0">
    <w:pPr>
      <w:tabs>
        <w:tab w:val="center" w:pos="4252"/>
        <w:tab w:val="right" w:pos="8504"/>
      </w:tabs>
      <w:spacing w:after="0" w:line="240" w:lineRule="auto"/>
      <w:jc w:val="center"/>
    </w:pPr>
    <w:r>
      <w:t xml:space="preserve">Página </w:t>
    </w:r>
    <w:r w:rsidR="00D036B3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 w:rsidR="00D036B3">
      <w:rPr>
        <w:b/>
        <w:sz w:val="24"/>
        <w:szCs w:val="24"/>
      </w:rPr>
      <w:fldChar w:fldCharType="separate"/>
    </w:r>
    <w:r w:rsidR="00FC5FBC">
      <w:rPr>
        <w:b/>
        <w:noProof/>
        <w:sz w:val="24"/>
        <w:szCs w:val="24"/>
      </w:rPr>
      <w:t>4</w:t>
    </w:r>
    <w:r w:rsidR="00D036B3">
      <w:rPr>
        <w:b/>
        <w:sz w:val="24"/>
        <w:szCs w:val="24"/>
      </w:rPr>
      <w:fldChar w:fldCharType="end"/>
    </w:r>
    <w:r>
      <w:t xml:space="preserve"> de </w:t>
    </w:r>
    <w:r w:rsidR="00D036B3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 w:rsidR="00D036B3">
      <w:rPr>
        <w:b/>
        <w:sz w:val="24"/>
        <w:szCs w:val="24"/>
      </w:rPr>
      <w:fldChar w:fldCharType="separate"/>
    </w:r>
    <w:r w:rsidR="00FC5FBC">
      <w:rPr>
        <w:b/>
        <w:noProof/>
        <w:sz w:val="24"/>
        <w:szCs w:val="24"/>
      </w:rPr>
      <w:t>4</w:t>
    </w:r>
    <w:r w:rsidR="00D036B3">
      <w:rPr>
        <w:b/>
        <w:sz w:val="24"/>
        <w:szCs w:val="24"/>
      </w:rPr>
      <w:fldChar w:fldCharType="end"/>
    </w:r>
  </w:p>
  <w:p w:rsidR="00DB159C" w:rsidRDefault="00DB159C">
    <w:pPr>
      <w:tabs>
        <w:tab w:val="center" w:pos="4252"/>
        <w:tab w:val="right" w:pos="8504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EC" w:rsidRDefault="00BF38EC">
      <w:pPr>
        <w:spacing w:after="0" w:line="240" w:lineRule="auto"/>
      </w:pPr>
      <w:r>
        <w:separator/>
      </w:r>
    </w:p>
  </w:footnote>
  <w:footnote w:type="continuationSeparator" w:id="0">
    <w:p w:rsidR="00BF38EC" w:rsidRDefault="00BF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59C" w:rsidRDefault="009777B0">
    <w:pPr>
      <w:tabs>
        <w:tab w:val="center" w:pos="4252"/>
        <w:tab w:val="right" w:pos="8504"/>
      </w:tabs>
      <w:spacing w:before="709" w:after="0" w:line="240" w:lineRule="auto"/>
    </w:pPr>
    <w:r>
      <w:rPr>
        <w:noProof/>
        <w:lang w:eastAsia="es-CL"/>
      </w:rPr>
      <w:drawing>
        <wp:inline distT="0" distB="0" distL="0" distR="0">
          <wp:extent cx="1173480" cy="555370"/>
          <wp:effectExtent l="0" t="0" r="0" b="0"/>
          <wp:docPr id="1" name="image1.jpg" descr="http://www.uv.cl/universidad/descargas/archivos/uv_logo_baj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uv.cl/universidad/descargas/archivos/uv_logo_baja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555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6D6"/>
    <w:multiLevelType w:val="multilevel"/>
    <w:tmpl w:val="A96897F6"/>
    <w:lvl w:ilvl="0">
      <w:start w:val="4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A4E05"/>
    <w:multiLevelType w:val="multilevel"/>
    <w:tmpl w:val="A96897F6"/>
    <w:lvl w:ilvl="0">
      <w:start w:val="4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E4C14"/>
    <w:multiLevelType w:val="multilevel"/>
    <w:tmpl w:val="DC96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1580"/>
    <w:multiLevelType w:val="multilevel"/>
    <w:tmpl w:val="0D5A89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E77691B"/>
    <w:multiLevelType w:val="multilevel"/>
    <w:tmpl w:val="1240992E"/>
    <w:lvl w:ilvl="0">
      <w:start w:val="1"/>
      <w:numFmt w:val="decimal"/>
      <w:lvlText w:val="(%1)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59A23B3"/>
    <w:multiLevelType w:val="hybridMultilevel"/>
    <w:tmpl w:val="4BDC9796"/>
    <w:lvl w:ilvl="0" w:tplc="CCE8741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914"/>
    <w:multiLevelType w:val="hybridMultilevel"/>
    <w:tmpl w:val="8CE6B470"/>
    <w:lvl w:ilvl="0" w:tplc="7E1A17C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017AC"/>
    <w:multiLevelType w:val="multilevel"/>
    <w:tmpl w:val="DADA9C8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59C"/>
    <w:rsid w:val="00101D6E"/>
    <w:rsid w:val="00127C50"/>
    <w:rsid w:val="004070AB"/>
    <w:rsid w:val="005A2AFB"/>
    <w:rsid w:val="00624949"/>
    <w:rsid w:val="006E7656"/>
    <w:rsid w:val="007823EF"/>
    <w:rsid w:val="007E6AF4"/>
    <w:rsid w:val="0082257F"/>
    <w:rsid w:val="009777B0"/>
    <w:rsid w:val="009C703B"/>
    <w:rsid w:val="00AA7FD7"/>
    <w:rsid w:val="00B46634"/>
    <w:rsid w:val="00BD15C0"/>
    <w:rsid w:val="00BF38EC"/>
    <w:rsid w:val="00C875C6"/>
    <w:rsid w:val="00C94113"/>
    <w:rsid w:val="00CF7013"/>
    <w:rsid w:val="00D036B3"/>
    <w:rsid w:val="00DB159C"/>
    <w:rsid w:val="00FB7AA5"/>
    <w:rsid w:val="00FC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36B3"/>
  </w:style>
  <w:style w:type="paragraph" w:styleId="Ttulo1">
    <w:name w:val="heading 1"/>
    <w:basedOn w:val="Normal"/>
    <w:next w:val="Normal"/>
    <w:rsid w:val="00D03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03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03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036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036B3"/>
    <w:pPr>
      <w:keepNext/>
      <w:spacing w:after="0" w:line="240" w:lineRule="auto"/>
      <w:ind w:hanging="9"/>
      <w:outlineLvl w:val="4"/>
    </w:pPr>
    <w:rPr>
      <w:rFonts w:ascii="Palatino" w:eastAsia="Palatino" w:hAnsi="Palatino" w:cs="Palatino"/>
      <w:b/>
      <w:sz w:val="24"/>
      <w:szCs w:val="24"/>
    </w:rPr>
  </w:style>
  <w:style w:type="paragraph" w:styleId="Ttulo6">
    <w:name w:val="heading 6"/>
    <w:basedOn w:val="Normal"/>
    <w:next w:val="Normal"/>
    <w:rsid w:val="00D03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036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036B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036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036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036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036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D036B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D036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D036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D036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27C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78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patrimonio1</cp:lastModifiedBy>
  <cp:revision>2</cp:revision>
  <dcterms:created xsi:type="dcterms:W3CDTF">2022-10-17T15:11:00Z</dcterms:created>
  <dcterms:modified xsi:type="dcterms:W3CDTF">2022-10-17T15:11:00Z</dcterms:modified>
</cp:coreProperties>
</file>